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242" w:lineRule="auto"/>
        <w:ind w:firstLine="2243"/>
        <w:rPr/>
      </w:pPr>
      <w:r w:rsidDel="00000000" w:rsidR="00000000" w:rsidRPr="00000000">
        <w:rPr>
          <w:rtl w:val="0"/>
        </w:rPr>
        <w:t xml:space="preserve">Kelvin Players’ Equality &amp; Diversity Policy &amp; Procedure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73659</wp:posOffset>
            </wp:positionH>
            <wp:positionV relativeFrom="paragraph">
              <wp:posOffset>-149274</wp:posOffset>
            </wp:positionV>
            <wp:extent cx="997673" cy="1229995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673" cy="1229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27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6205"/>
        <w:gridCol w:w="3260"/>
        <w:tblGridChange w:id="0">
          <w:tblGrid>
            <w:gridCol w:w="6205"/>
            <w:gridCol w:w="3260"/>
          </w:tblGrid>
        </w:tblGridChange>
      </w:tblGrid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document: The date upon which this document was prepared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Policy Manager: The person responsible for writing or co-ordinating the writing of policy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 Rees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Policy Enforcement Officer: The Person within Kelvin Players who is responsible for enforcing of taking appropriate action in the event of policy breach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Lydia Williams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117"/>
        <w:rPr/>
      </w:pPr>
      <w:r w:rsidDel="00000000" w:rsidR="00000000" w:rsidRPr="00000000">
        <w:rPr>
          <w:rtl w:val="0"/>
        </w:rPr>
        <w:t xml:space="preserve">Policy Statement</w:t>
      </w:r>
    </w:p>
    <w:p w:rsidR="00000000" w:rsidDel="00000000" w:rsidP="00000000" w:rsidRDefault="00000000" w:rsidRPr="00000000" w14:paraId="00000019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 believe in the transformative power of </w:t>
      </w:r>
      <w:r w:rsidDel="00000000" w:rsidR="00000000" w:rsidRPr="00000000">
        <w:rPr>
          <w:b w:val="0"/>
          <w:rtl w:val="0"/>
        </w:rPr>
        <w:t xml:space="preserve">theatre</w:t>
      </w:r>
      <w:r w:rsidDel="00000000" w:rsidR="00000000" w:rsidRPr="00000000">
        <w:rPr>
          <w:b w:val="0"/>
          <w:rtl w:val="0"/>
        </w:rPr>
        <w:t xml:space="preserve"> – to enrich lives and </w:t>
      </w:r>
      <w:r w:rsidDel="00000000" w:rsidR="00000000" w:rsidRPr="00000000">
        <w:rPr>
          <w:b w:val="0"/>
          <w:rtl w:val="0"/>
        </w:rPr>
        <w:t xml:space="preserve">energise</w:t>
      </w:r>
      <w:r w:rsidDel="00000000" w:rsidR="00000000" w:rsidRPr="00000000">
        <w:rPr>
          <w:b w:val="0"/>
          <w:rtl w:val="0"/>
        </w:rPr>
        <w:t xml:space="preserve"> communities. We also believe in the valuable role diversity and inclusivity play in helping our </w:t>
      </w:r>
      <w:r w:rsidDel="00000000" w:rsidR="00000000" w:rsidRPr="00000000">
        <w:rPr>
          <w:b w:val="0"/>
          <w:rtl w:val="0"/>
        </w:rPr>
        <w:t xml:space="preserve">theatre</w:t>
      </w:r>
      <w:r w:rsidDel="00000000" w:rsidR="00000000" w:rsidRPr="00000000">
        <w:rPr>
          <w:b w:val="0"/>
          <w:rtl w:val="0"/>
        </w:rPr>
        <w:t xml:space="preserve"> and our community thrive.</w:t>
      </w:r>
    </w:p>
    <w:p w:rsidR="00000000" w:rsidDel="00000000" w:rsidP="00000000" w:rsidRDefault="00000000" w:rsidRPr="00000000" w14:paraId="0000001A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Everyone is unique and offers something different, and we are committed to creating an environment that welcomes people to the club and celebrates these differences.</w:t>
      </w:r>
    </w:p>
    <w:p w:rsidR="00000000" w:rsidDel="00000000" w:rsidP="00000000" w:rsidRDefault="00000000" w:rsidRPr="00000000" w14:paraId="0000001B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Everyone will be treated with respect and dignity, and there is no place at Kelvin Players for anything contrary to this. Our ambition is to be a truly inclusive </w:t>
      </w:r>
      <w:r w:rsidDel="00000000" w:rsidR="00000000" w:rsidRPr="00000000">
        <w:rPr>
          <w:b w:val="0"/>
          <w:rtl w:val="0"/>
        </w:rPr>
        <w:t xml:space="preserve">theatre</w:t>
      </w:r>
      <w:r w:rsidDel="00000000" w:rsidR="00000000" w:rsidRPr="00000000">
        <w:rPr>
          <w:b w:val="0"/>
          <w:rtl w:val="0"/>
        </w:rPr>
        <w:t xml:space="preserve"> company, representative of all parts of Bristol, with a reputation for openness and accessibility.</w:t>
      </w:r>
    </w:p>
    <w:p w:rsidR="00000000" w:rsidDel="00000000" w:rsidP="00000000" w:rsidRDefault="00000000" w:rsidRPr="00000000" w14:paraId="0000001C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 want our members to feel that they can be themselves, free from discrimination. We believe everyone can make a difference, and are determined to provide an equitable environment that ensures no-one is left out or feels they are unable to fulfill their theatrical potential.</w:t>
      </w:r>
    </w:p>
    <w:p w:rsidR="00000000" w:rsidDel="00000000" w:rsidP="00000000" w:rsidRDefault="00000000" w:rsidRPr="00000000" w14:paraId="0000001D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</w:t>
      </w:r>
      <w:r w:rsidDel="00000000" w:rsidR="00000000" w:rsidRPr="00000000">
        <w:rPr>
          <w:b w:val="0"/>
          <w:rtl w:val="0"/>
        </w:rPr>
        <w:t xml:space="preserve">e want anyone who comes to see our productions or use our facilities to experience a culture that genuinely reflects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Our mission is to create excellent </w:t>
      </w:r>
      <w:r w:rsidDel="00000000" w:rsidR="00000000" w:rsidRPr="00000000">
        <w:rPr>
          <w:b w:val="0"/>
          <w:rtl w:val="0"/>
        </w:rPr>
        <w:t xml:space="preserve">theatre</w:t>
      </w:r>
      <w:r w:rsidDel="00000000" w:rsidR="00000000" w:rsidRPr="00000000">
        <w:rPr>
          <w:b w:val="0"/>
          <w:rtl w:val="0"/>
        </w:rPr>
        <w:t xml:space="preserve">, and we will do this with a focused lens of inclusion.</w:t>
      </w:r>
    </w:p>
    <w:p w:rsidR="00000000" w:rsidDel="00000000" w:rsidP="00000000" w:rsidRDefault="00000000" w:rsidRPr="00000000" w14:paraId="0000001F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23" w:lineRule="auto"/>
        <w:ind w:firstLine="117"/>
        <w:rPr/>
      </w:pPr>
      <w:r w:rsidDel="00000000" w:rsidR="00000000" w:rsidRPr="00000000">
        <w:rPr>
          <w:rtl w:val="0"/>
        </w:rPr>
        <w:t xml:space="preserve">Definitions</w:t>
      </w:r>
    </w:p>
    <w:p w:rsidR="00000000" w:rsidDel="00000000" w:rsidP="00000000" w:rsidRDefault="00000000" w:rsidRPr="00000000" w14:paraId="00000021">
      <w:pPr>
        <w:pStyle w:val="Heading1"/>
        <w:spacing w:before="123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Equality</w:t>
      </w:r>
    </w:p>
    <w:p w:rsidR="00000000" w:rsidDel="00000000" w:rsidP="00000000" w:rsidRDefault="00000000" w:rsidRPr="00000000" w14:paraId="00000022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 promote and reflect a fair society, one where a person/group is not treated less </w:t>
      </w:r>
      <w:r w:rsidDel="00000000" w:rsidR="00000000" w:rsidRPr="00000000">
        <w:rPr>
          <w:b w:val="0"/>
          <w:rtl w:val="0"/>
        </w:rPr>
        <w:t xml:space="preserve">favourably</w:t>
      </w:r>
      <w:r w:rsidDel="00000000" w:rsidR="00000000" w:rsidRPr="00000000">
        <w:rPr>
          <w:b w:val="0"/>
          <w:rtl w:val="0"/>
        </w:rPr>
        <w:t xml:space="preserve"> because of a ‘protected characteristic’ - as defined by the UK Govt. [These include, but are not limited to: age, gender, being married or in a civil partnership, being pregnant or on maternity leave, disability, race (including colour, nationality, ethnic or national origin), religion or belief, sex, sexual orientation.]</w:t>
      </w:r>
    </w:p>
    <w:p w:rsidR="00000000" w:rsidDel="00000000" w:rsidP="00000000" w:rsidRDefault="00000000" w:rsidRPr="00000000" w14:paraId="00000023">
      <w:pPr>
        <w:pStyle w:val="Heading1"/>
        <w:spacing w:before="123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Diversity</w:t>
      </w:r>
    </w:p>
    <w:p w:rsidR="00000000" w:rsidDel="00000000" w:rsidP="00000000" w:rsidRDefault="00000000" w:rsidRPr="00000000" w14:paraId="00000024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 appreciate the value of difference, the full worth of unique characteristics that make us who we are. This includes protected characteristics as well as socio-economic factors, diversity of ideas and life experiences.</w:t>
      </w:r>
    </w:p>
    <w:p w:rsidR="00000000" w:rsidDel="00000000" w:rsidP="00000000" w:rsidRDefault="00000000" w:rsidRPr="00000000" w14:paraId="00000025">
      <w:pPr>
        <w:pStyle w:val="Heading1"/>
        <w:spacing w:before="123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Inclusion</w:t>
      </w:r>
    </w:p>
    <w:p w:rsidR="00000000" w:rsidDel="00000000" w:rsidP="00000000" w:rsidRDefault="00000000" w:rsidRPr="00000000" w14:paraId="00000026">
      <w:pPr>
        <w:pStyle w:val="Heading1"/>
        <w:spacing w:before="123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We’re creating and driving a culture where people feel welcome, valued and visibly represented in all aspects of KP productions.</w:t>
      </w:r>
    </w:p>
    <w:p w:rsidR="00000000" w:rsidDel="00000000" w:rsidP="00000000" w:rsidRDefault="00000000" w:rsidRPr="00000000" w14:paraId="00000027">
      <w:pPr>
        <w:pStyle w:val="Heading1"/>
        <w:spacing w:before="123" w:lineRule="auto"/>
        <w:ind w:firstLine="11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before="123" w:lineRule="auto"/>
        <w:ind w:firstLine="117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29">
      <w:pPr>
        <w:pStyle w:val="Heading1"/>
        <w:spacing w:before="124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A robust policy is essential to foster and embed these principles in our culture.</w:t>
      </w:r>
    </w:p>
    <w:p w:rsidR="00000000" w:rsidDel="00000000" w:rsidP="00000000" w:rsidRDefault="00000000" w:rsidRPr="00000000" w14:paraId="0000002A">
      <w:pPr>
        <w:pStyle w:val="Heading1"/>
        <w:spacing w:before="124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It is the responsibility of all members to ensure an equitable environment, to combat discrimination and to promote inclusivity.</w:t>
      </w:r>
    </w:p>
    <w:p w:rsidR="00000000" w:rsidDel="00000000" w:rsidP="00000000" w:rsidRDefault="00000000" w:rsidRPr="00000000" w14:paraId="0000002B">
      <w:pPr>
        <w:pStyle w:val="Heading1"/>
        <w:spacing w:before="124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We will do this by:</w:t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spacing w:after="0" w:afterAutospacing="0" w:before="124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Consistently demonstrating inclusive behaviour in leadership (i.e. the Kelvin Players management committee meetings)</w:t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Creating inclusive conditions and supporting the mental health and wellbeing of our members</w:t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Driving our company to create a more diverse membership to better represent our city, Bristol</w:t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Choosing plays and provide backstage opportunities for people of all backgrounds</w:t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Using targeted marketing to build our reputation as a leading drama group</w:t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Establishing practices to engender a culture of inclusivity</w:t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Improving representation across all roles within the group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1"/>
        </w:numPr>
        <w:spacing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Ensuring that the casting of our plays is open and neutral </w:t>
      </w:r>
    </w:p>
    <w:p w:rsidR="00000000" w:rsidDel="00000000" w:rsidP="00000000" w:rsidRDefault="00000000" w:rsidRPr="00000000" w14:paraId="00000034">
      <w:pPr>
        <w:pStyle w:val="Heading1"/>
        <w:spacing w:before="124" w:lineRule="auto"/>
        <w:ind w:firstLine="11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124" w:lineRule="auto"/>
        <w:ind w:firstLine="117"/>
        <w:rPr/>
      </w:pPr>
      <w:r w:rsidDel="00000000" w:rsidR="00000000" w:rsidRPr="00000000">
        <w:rPr>
          <w:rtl w:val="0"/>
        </w:rPr>
        <w:t xml:space="preserve">Scope: what it means to us as a club</w:t>
      </w:r>
    </w:p>
    <w:p w:rsidR="00000000" w:rsidDel="00000000" w:rsidP="00000000" w:rsidRDefault="00000000" w:rsidRPr="00000000" w14:paraId="00000036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The Membership Development Director and </w:t>
      </w:r>
      <w:r w:rsidDel="00000000" w:rsidR="00000000" w:rsidRPr="00000000">
        <w:rPr>
          <w:b w:val="0"/>
          <w:rtl w:val="0"/>
        </w:rPr>
        <w:t xml:space="preserve">Inclusivity Officer</w:t>
      </w:r>
      <w:r w:rsidDel="00000000" w:rsidR="00000000" w:rsidRPr="00000000">
        <w:rPr>
          <w:b w:val="0"/>
          <w:rtl w:val="0"/>
        </w:rPr>
        <w:t xml:space="preserve"> will develop and manage an action </w:t>
      </w:r>
      <w:r w:rsidDel="00000000" w:rsidR="00000000" w:rsidRPr="00000000">
        <w:rPr>
          <w:b w:val="0"/>
          <w:rtl w:val="0"/>
        </w:rPr>
        <w:t xml:space="preserve">plan that will deliver</w:t>
      </w:r>
      <w:r w:rsidDel="00000000" w:rsidR="00000000" w:rsidRPr="00000000">
        <w:rPr>
          <w:b w:val="0"/>
          <w:rtl w:val="0"/>
        </w:rPr>
        <w:t xml:space="preserve"> short, medium and long-term goals.</w:t>
      </w:r>
    </w:p>
    <w:p w:rsidR="00000000" w:rsidDel="00000000" w:rsidP="00000000" w:rsidRDefault="00000000" w:rsidRPr="00000000" w14:paraId="00000037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5667"/>
        <w:gridCol w:w="2132"/>
        <w:tblGridChange w:id="0">
          <w:tblGrid>
            <w:gridCol w:w="1844"/>
            <w:gridCol w:w="5667"/>
            <w:gridCol w:w="2132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38">
            <w:pPr>
              <w:pStyle w:val="Heading1"/>
              <w:spacing w:before="161" w:lineRule="auto"/>
              <w:ind w:firstLine="117"/>
              <w:rPr/>
            </w:pPr>
            <w:r w:rsidDel="00000000" w:rsidR="00000000" w:rsidRPr="00000000">
              <w:rPr>
                <w:rtl w:val="0"/>
              </w:rPr>
              <w:t xml:space="preserve">Area of focus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0000" w:val="clear"/>
          </w:tcPr>
          <w:p w:rsidR="00000000" w:rsidDel="00000000" w:rsidP="00000000" w:rsidRDefault="00000000" w:rsidRPr="00000000" w14:paraId="00000039">
            <w:pPr>
              <w:pStyle w:val="Heading1"/>
              <w:spacing w:before="161" w:lineRule="auto"/>
              <w:ind w:firstLine="117"/>
              <w:rPr/>
            </w:pPr>
            <w:r w:rsidDel="00000000" w:rsidR="00000000" w:rsidRPr="00000000">
              <w:rPr>
                <w:rtl w:val="0"/>
              </w:rPr>
              <w:t xml:space="preserve">Target (% differences from 2020 figures)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3A">
            <w:pPr>
              <w:pStyle w:val="Heading1"/>
              <w:spacing w:before="161" w:lineRule="auto"/>
              <w:ind w:firstLine="117"/>
              <w:rPr/>
            </w:pPr>
            <w:r w:rsidDel="00000000" w:rsidR="00000000" w:rsidRPr="00000000">
              <w:rPr>
                <w:rtl w:val="0"/>
              </w:rPr>
              <w:t xml:space="preserve">By when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Ethnicity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10% of members from the Global Majority*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September 2025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Sexuality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15% members consider themselves to be </w:t>
            </w:r>
            <w:r w:rsidDel="00000000" w:rsidR="00000000" w:rsidRPr="00000000">
              <w:rPr>
                <w:b w:val="0"/>
                <w:rtl w:val="0"/>
              </w:rPr>
              <w:t xml:space="preserve">LGBTQA+**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Disability***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15% of members consider themselves to have a disability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Style w:val="Heading1"/>
              <w:spacing w:before="161" w:lineRule="auto"/>
              <w:ind w:firstLine="117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10% of members aged 16-24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1"/>
        <w:spacing w:before="161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rtl w:val="0"/>
        </w:rPr>
        <w:t xml:space="preserve">[NOTE</w:t>
      </w:r>
      <w:r w:rsidDel="00000000" w:rsidR="00000000" w:rsidRPr="00000000">
        <w:rPr>
          <w:b w:val="0"/>
          <w:i w:val="1"/>
          <w:rtl w:val="0"/>
        </w:rPr>
        <w:t xml:space="preserve">:*Black, Asian and minority ethnic; **Lesbian, gay, bisexual, transgender, intersex, queer/questioning, asexual; </w:t>
      </w:r>
      <w:r w:rsidDel="00000000" w:rsidR="00000000" w:rsidRPr="00000000">
        <w:rPr>
          <w:b w:val="0"/>
          <w:rtl w:val="0"/>
        </w:rPr>
        <w:t xml:space="preserve">***</w:t>
      </w:r>
      <w:r w:rsidDel="00000000" w:rsidR="00000000" w:rsidRPr="00000000">
        <w:rPr>
          <w:b w:val="0"/>
          <w:i w:val="1"/>
          <w:rtl w:val="0"/>
        </w:rPr>
        <w:t xml:space="preserve">You’re disabled under the Equality Act 2010 if you have a physical or mental impairment with a ‘substantial’ and ‘long-term’ negative effect on your ability to do normal daily activities]</w:t>
      </w:r>
    </w:p>
    <w:p w:rsidR="00000000" w:rsidDel="00000000" w:rsidP="00000000" w:rsidRDefault="00000000" w:rsidRPr="00000000" w14:paraId="00000048">
      <w:pPr>
        <w:pStyle w:val="Heading1"/>
        <w:spacing w:before="161" w:lineRule="auto"/>
        <w:ind w:firstLine="11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161" w:lineRule="auto"/>
        <w:ind w:firstLine="117"/>
        <w:rPr/>
      </w:pPr>
      <w:r w:rsidDel="00000000" w:rsidR="00000000" w:rsidRPr="00000000">
        <w:rPr>
          <w:rtl w:val="0"/>
        </w:rPr>
        <w:t xml:space="preserve">Impact: what it means to you as a member</w:t>
      </w:r>
    </w:p>
    <w:p w:rsidR="00000000" w:rsidDel="00000000" w:rsidP="00000000" w:rsidRDefault="00000000" w:rsidRPr="00000000" w14:paraId="0000004A">
      <w:pPr>
        <w:pStyle w:val="Heading1"/>
        <w:spacing w:before="161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What we need you to take personal responsibility for:</w:t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2"/>
        </w:numPr>
        <w:spacing w:after="0" w:afterAutospacing="0" w:before="161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More than just accept diversity – welcome and embrace differences</w:t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Treat everyone with respect – be aware of whether words or actions may cause offence</w:t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Set a positive example in all that you do – actively challenge inappropriate behaviour</w:t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Complete equality, diversity and inclusion data gathering as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b w:val="0"/>
        </w:rPr>
      </w:pPr>
      <w:bookmarkStart w:colFirst="0" w:colLast="0" w:name="_heading=h.1zjzqz6lzlbp" w:id="0"/>
      <w:bookmarkEnd w:id="0"/>
      <w:r w:rsidDel="00000000" w:rsidR="00000000" w:rsidRPr="00000000">
        <w:rPr>
          <w:b w:val="0"/>
          <w:rtl w:val="0"/>
        </w:rPr>
        <w:t xml:space="preserve">Complete equality, diversity and inclusion training as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2"/>
        </w:numPr>
        <w:spacing w:before="0" w:before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Read, understand and sign this policy so you’re confident about what it means for you</w:t>
      </w:r>
    </w:p>
    <w:p w:rsidR="00000000" w:rsidDel="00000000" w:rsidP="00000000" w:rsidRDefault="00000000" w:rsidRPr="00000000" w14:paraId="00000051">
      <w:pPr>
        <w:pStyle w:val="Heading1"/>
        <w:spacing w:before="161" w:lineRule="auto"/>
        <w:ind w:firstLine="117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Reporting procedure</w:t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3"/>
        </w:numPr>
        <w:spacing w:after="0" w:afterAutospacing="0" w:before="161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Any allegation of discrimination will be treated seriously and investigated fully</w:t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You can report it to any member of the Kelvin Players Management Committee or the Executive Group in confidence (</w:t>
      </w:r>
      <w:hyperlink r:id="rId8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www.kelvin-members.co.uk/committee-contacts</w:t>
        </w:r>
      </w:hyperlink>
      <w:r w:rsidDel="00000000" w:rsidR="00000000" w:rsidRPr="00000000">
        <w:rPr>
          <w:b w:val="0"/>
          <w:rtl w:val="0"/>
        </w:rPr>
        <w:t xml:space="preserve">)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matter will be referred for action if appropriate to the KP Chair, Membership Development Director, or another member of the KP Management Committee</w:t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Appropriate action will be agreed with you and initiated within 10 working days</w:t>
      </w:r>
    </w:p>
    <w:p w:rsidR="00000000" w:rsidDel="00000000" w:rsidP="00000000" w:rsidRDefault="00000000" w:rsidRPr="00000000" w14:paraId="00000056">
      <w:pPr>
        <w:pStyle w:val="Heading1"/>
        <w:numPr>
          <w:ilvl w:val="0"/>
          <w:numId w:val="3"/>
        </w:numPr>
        <w:spacing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Any justified, proven complaint of discrimination may lead to withdrawing membership</w:t>
      </w:r>
    </w:p>
    <w:p w:rsidR="00000000" w:rsidDel="00000000" w:rsidP="00000000" w:rsidRDefault="00000000" w:rsidRPr="00000000" w14:paraId="00000057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You can also speak to the </w:t>
      </w:r>
      <w:hyperlink r:id="rId9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Equality Advisory and Support Service</w:t>
        </w:r>
      </w:hyperlink>
      <w:r w:rsidDel="00000000" w:rsidR="00000000" w:rsidRPr="00000000">
        <w:rPr>
          <w:b w:val="0"/>
          <w:u w:val="single"/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for independent advice.</w:t>
      </w:r>
    </w:p>
    <w:p w:rsidR="00000000" w:rsidDel="00000000" w:rsidP="00000000" w:rsidRDefault="00000000" w:rsidRPr="00000000" w14:paraId="00000058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If possible, try to keep a record of your experiences of discrimination or harassment including dates/times and details of what happened, in case you decide to report it. It’s also a good idea to keep a record of any emails you send or receive regarding the harassment</w:t>
      </w:r>
    </w:p>
    <w:p w:rsidR="00000000" w:rsidDel="00000000" w:rsidP="00000000" w:rsidRDefault="00000000" w:rsidRPr="00000000" w14:paraId="00000059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If you’re in danger, call the police on 999.</w:t>
      </w:r>
    </w:p>
    <w:p w:rsidR="00000000" w:rsidDel="00000000" w:rsidP="00000000" w:rsidRDefault="00000000" w:rsidRPr="00000000" w14:paraId="0000005A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If sexual harassment escalates into violence, threats or </w:t>
      </w:r>
      <w:hyperlink r:id="rId10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sexual assault,</w:t>
        </w:r>
      </w:hyperlink>
      <w:r w:rsidDel="00000000" w:rsidR="00000000" w:rsidRPr="00000000">
        <w:rPr>
          <w:b w:val="0"/>
          <w:rtl w:val="0"/>
        </w:rPr>
        <w:t xml:space="preserve"> you can report this to the police by calling 101 or contacting your local police.</w:t>
      </w:r>
    </w:p>
    <w:p w:rsidR="00000000" w:rsidDel="00000000" w:rsidP="00000000" w:rsidRDefault="00000000" w:rsidRPr="00000000" w14:paraId="0000005B">
      <w:pPr>
        <w:pStyle w:val="Heading1"/>
        <w:spacing w:before="161" w:lineRule="auto"/>
        <w:ind w:firstLine="117"/>
        <w:rPr>
          <w:b w:val="0"/>
        </w:rPr>
      </w:pPr>
      <w:r w:rsidDel="00000000" w:rsidR="00000000" w:rsidRPr="00000000">
        <w:rPr>
          <w:b w:val="0"/>
          <w:rtl w:val="0"/>
        </w:rPr>
        <w:t xml:space="preserve">You can also </w:t>
      </w:r>
      <w:hyperlink r:id="rId11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contact</w:t>
        </w:r>
      </w:hyperlink>
      <w:r w:rsidDel="00000000" w:rsidR="00000000" w:rsidRPr="00000000">
        <w:rPr>
          <w:b w:val="0"/>
          <w:rtl w:val="0"/>
        </w:rPr>
        <w:t xml:space="preserve"> </w:t>
      </w:r>
      <w:hyperlink r:id="rId12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Victim Support</w:t>
        </w:r>
      </w:hyperlink>
      <w:r w:rsidDel="00000000" w:rsidR="00000000" w:rsidRPr="00000000">
        <w:rPr>
          <w:b w:val="0"/>
          <w:u w:val="single"/>
          <w:rtl w:val="0"/>
        </w:rPr>
        <w:t xml:space="preserve"> </w:t>
      </w:r>
      <w:hyperlink r:id="rId13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free on 0808 168 9111 or</w:t>
        </w:r>
      </w:hyperlink>
      <w:r w:rsidDel="00000000" w:rsidR="00000000" w:rsidRPr="00000000">
        <w:rPr>
          <w:b w:val="0"/>
          <w:rtl w:val="0"/>
        </w:rPr>
        <w:t xml:space="preserve"> </w:t>
      </w:r>
      <w:hyperlink r:id="rId14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email</w:t>
        </w:r>
      </w:hyperlink>
      <w:r w:rsidDel="00000000" w:rsidR="00000000" w:rsidRPr="00000000">
        <w:rPr>
          <w:b w:val="0"/>
          <w:rtl w:val="0"/>
        </w:rPr>
        <w:t xml:space="preserve"> and they can explain all the options available to you and support you through your journey.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spacing w:before="161" w:lineRule="auto"/>
        <w:ind w:left="0" w:firstLine="0"/>
        <w:rPr/>
      </w:pPr>
      <w:r w:rsidDel="00000000" w:rsidR="00000000" w:rsidRPr="00000000">
        <w:rPr>
          <w:rtl w:val="0"/>
        </w:rPr>
        <w:t xml:space="preserve">Regular reporting, monitoring and ongoing consultation</w:t>
      </w:r>
    </w:p>
    <w:p w:rsidR="00000000" w:rsidDel="00000000" w:rsidP="00000000" w:rsidRDefault="00000000" w:rsidRPr="00000000" w14:paraId="0000005E">
      <w:pPr>
        <w:pStyle w:val="Heading1"/>
        <w:spacing w:before="161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We will collate and interrogate membership data to continually improve, including:</w:t>
      </w:r>
    </w:p>
    <w:p w:rsidR="00000000" w:rsidDel="00000000" w:rsidP="00000000" w:rsidRDefault="00000000" w:rsidRPr="00000000" w14:paraId="0000005F">
      <w:pPr>
        <w:pStyle w:val="Heading1"/>
        <w:numPr>
          <w:ilvl w:val="0"/>
          <w:numId w:val="4"/>
        </w:numPr>
        <w:spacing w:after="0" w:afterAutospacing="0" w:before="161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 regular survey to track progress against goals – supported by an awareness programme to encourage members to connect with and inform our ED&amp;I decisions</w:t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Produce an annual summary of ongoing compliance, </w:t>
      </w:r>
      <w:r w:rsidDel="00000000" w:rsidR="00000000" w:rsidRPr="00000000">
        <w:rPr>
          <w:b w:val="0"/>
          <w:rtl w:val="0"/>
        </w:rPr>
        <w:t xml:space="preserve">breaches </w:t>
      </w:r>
      <w:r w:rsidDel="00000000" w:rsidR="00000000" w:rsidRPr="00000000">
        <w:rPr>
          <w:b w:val="0"/>
          <w:rtl w:val="0"/>
        </w:rPr>
        <w:t xml:space="preserve">and survey results with recommendations for action</w:t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4"/>
        </w:numPr>
        <w:spacing w:before="0" w:beforeAutospacing="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Engage with other </w:t>
      </w:r>
      <w:r w:rsidDel="00000000" w:rsidR="00000000" w:rsidRPr="00000000">
        <w:rPr>
          <w:b w:val="0"/>
          <w:rtl w:val="0"/>
        </w:rPr>
        <w:t xml:space="preserve">theatre</w:t>
      </w:r>
      <w:r w:rsidDel="00000000" w:rsidR="00000000" w:rsidRPr="00000000">
        <w:rPr>
          <w:b w:val="0"/>
          <w:rtl w:val="0"/>
        </w:rPr>
        <w:t xml:space="preserve"> groups (national/non-professional) to benchmark our activity</w:t>
      </w:r>
    </w:p>
    <w:p w:rsidR="00000000" w:rsidDel="00000000" w:rsidP="00000000" w:rsidRDefault="00000000" w:rsidRPr="00000000" w14:paraId="00000062">
      <w:pPr>
        <w:pStyle w:val="Heading1"/>
        <w:spacing w:before="78" w:line="280" w:lineRule="auto"/>
        <w:ind w:left="-282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before="78" w:line="280" w:lineRule="auto"/>
        <w:ind w:left="-282" w:firstLine="394"/>
        <w:rPr/>
      </w:pPr>
      <w:r w:rsidDel="00000000" w:rsidR="00000000" w:rsidRPr="00000000">
        <w:rPr>
          <w:rtl w:val="0"/>
        </w:rPr>
        <w:t xml:space="preserve">Revision History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left"/>
        <w:tblInd w:w="235.0" w:type="dxa"/>
        <w:tblBorders>
          <w:top w:color="ff6600" w:space="0" w:sz="4" w:val="single"/>
          <w:left w:color="ff6600" w:space="0" w:sz="4" w:val="single"/>
          <w:bottom w:color="ff6600" w:space="0" w:sz="4" w:val="single"/>
          <w:right w:color="ff6600" w:space="0" w:sz="4" w:val="single"/>
          <w:insideH w:color="ff6600" w:space="0" w:sz="4" w:val="single"/>
          <w:insideV w:color="ff6600" w:space="0" w:sz="4" w:val="single"/>
        </w:tblBorders>
        <w:tblLayout w:type="fixed"/>
        <w:tblLook w:val="0000"/>
      </w:tblPr>
      <w:tblGrid>
        <w:gridCol w:w="919"/>
        <w:gridCol w:w="1279"/>
        <w:gridCol w:w="1685"/>
        <w:gridCol w:w="5504"/>
        <w:tblGridChange w:id="0">
          <w:tblGrid>
            <w:gridCol w:w="919"/>
            <w:gridCol w:w="1279"/>
            <w:gridCol w:w="1685"/>
            <w:gridCol w:w="5504"/>
          </w:tblGrid>
        </w:tblGridChange>
      </w:tblGrid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40" w:w="11910" w:orient="portrait"/>
      <w:pgMar w:bottom="1620" w:top="1040" w:left="1160" w:right="1020" w:header="0" w:footer="14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9613900</wp:posOffset>
              </wp:positionV>
              <wp:extent cx="1203325" cy="1701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53863" y="3704435"/>
                        <a:ext cx="1184275" cy="151130"/>
                      </a:xfrm>
                      <a:custGeom>
                        <a:rect b="b" l="l" r="r" t="t"/>
                        <a:pathLst>
                          <a:path extrusionOk="0" h="151130" w="1184275">
                            <a:moveTo>
                              <a:pt x="0" y="0"/>
                            </a:moveTo>
                            <a:lnTo>
                              <a:pt x="0" y="151130"/>
                            </a:lnTo>
                            <a:lnTo>
                              <a:pt x="1184275" y="151130"/>
                            </a:lnTo>
                            <a:lnTo>
                              <a:pt x="1184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615f60"/>
                              <w:sz w:val="16"/>
                              <w:vertAlign w:val="baseline"/>
                            </w:rPr>
                            <w:t xml:space="preserve">15 November 2018	 PAGE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9613900</wp:posOffset>
              </wp:positionV>
              <wp:extent cx="1203325" cy="17018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3325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9613900</wp:posOffset>
              </wp:positionV>
              <wp:extent cx="569595" cy="17018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728" y="3704435"/>
                        <a:ext cx="550545" cy="151130"/>
                      </a:xfrm>
                      <a:custGeom>
                        <a:rect b="b" l="l" r="r" t="t"/>
                        <a:pathLst>
                          <a:path extrusionOk="0" h="151130" w="550545">
                            <a:moveTo>
                              <a:pt x="0" y="0"/>
                            </a:moveTo>
                            <a:lnTo>
                              <a:pt x="0" y="151130"/>
                            </a:lnTo>
                            <a:lnTo>
                              <a:pt x="550545" y="151130"/>
                            </a:lnTo>
                            <a:lnTo>
                              <a:pt x="5505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615f60"/>
                              <w:sz w:val="16"/>
                              <w:vertAlign w:val="baseline"/>
                            </w:rPr>
                            <w:t xml:space="preserve">Version 1.0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9613900</wp:posOffset>
              </wp:positionV>
              <wp:extent cx="569595" cy="17018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595" cy="170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9613900</wp:posOffset>
              </wp:positionV>
              <wp:extent cx="2381250" cy="29464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64900" y="3642205"/>
                        <a:ext cx="2362200" cy="275590"/>
                      </a:xfrm>
                      <a:custGeom>
                        <a:rect b="b" l="l" r="r" t="t"/>
                        <a:pathLst>
                          <a:path extrusionOk="0" h="275590" w="2362200">
                            <a:moveTo>
                              <a:pt x="0" y="0"/>
                            </a:moveTo>
                            <a:lnTo>
                              <a:pt x="0" y="275590"/>
                            </a:lnTo>
                            <a:lnTo>
                              <a:pt x="2362200" y="275590"/>
                            </a:lnTo>
                            <a:lnTo>
                              <a:pt x="2362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.999999046325684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615f60"/>
                              <w:sz w:val="16"/>
                              <w:vertAlign w:val="baseline"/>
                            </w:rPr>
                            <w:t xml:space="preserve">Equality and Diversity Policy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615f6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615f60"/>
                              <w:sz w:val="16"/>
                              <w:vertAlign w:val="baseline"/>
                            </w:rPr>
                            <w:t xml:space="preserve">This document becomes obsolete once printed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9613900</wp:posOffset>
              </wp:positionV>
              <wp:extent cx="2381250" cy="294640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0" cy="294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7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6" w:lineRule="auto"/>
      <w:ind w:left="2243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7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6" w:lineRule="auto"/>
      <w:ind w:left="2243"/>
    </w:pPr>
    <w:rPr>
      <w:sz w:val="32"/>
      <w:szCs w:val="32"/>
    </w:rPr>
  </w:style>
  <w:style w:type="paragraph" w:styleId="Normal" w:default="1">
    <w:name w:val="Normal"/>
    <w:qFormat w:val="1"/>
    <w:rsid w:val="00D352BA"/>
    <w:rPr>
      <w:rFonts w:ascii="Verdana" w:cs="Verdana" w:eastAsia="Verdana" w:hAnsi="Verdana"/>
    </w:rPr>
  </w:style>
  <w:style w:type="paragraph" w:styleId="Heading1">
    <w:name w:val="heading 1"/>
    <w:basedOn w:val="Normal"/>
    <w:uiPriority w:val="9"/>
    <w:qFormat w:val="1"/>
    <w:pPr>
      <w:ind w:left="117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17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 w:val="1"/>
    <w:pPr>
      <w:spacing w:before="246"/>
      <w:ind w:left="2243"/>
    </w:pPr>
    <w:rPr>
      <w:sz w:val="32"/>
      <w:szCs w:val="32"/>
    </w:rPr>
  </w:style>
  <w:style w:type="paragraph" w:styleId="ListParagraph">
    <w:name w:val="List Paragraph"/>
    <w:basedOn w:val="Normal"/>
    <w:uiPriority w:val="1"/>
    <w:qFormat w:val="1"/>
    <w:pPr>
      <w:ind w:left="837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46"/>
      <w:ind w:left="107"/>
    </w:pPr>
  </w:style>
  <w:style w:type="character" w:styleId="Hyperlink">
    <w:name w:val="Hyperlink"/>
    <w:basedOn w:val="DefaultParagraphFont"/>
    <w:uiPriority w:val="99"/>
    <w:unhideWhenUsed w:val="1"/>
    <w:rsid w:val="00756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6A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ictimsupport.org.uk/help-and-support/get-help" TargetMode="External"/><Relationship Id="rId10" Type="http://schemas.openxmlformats.org/officeDocument/2006/relationships/hyperlink" Target="https://www.victimsupport.org.uk/crime-info/types-crime/rape-and-sexual-assault" TargetMode="External"/><Relationship Id="rId13" Type="http://schemas.openxmlformats.org/officeDocument/2006/relationships/hyperlink" Target="https://www.victimsupport.org.uk/help-and-support/get-help" TargetMode="External"/><Relationship Id="rId12" Type="http://schemas.openxmlformats.org/officeDocument/2006/relationships/hyperlink" Target="https://www.victimsupport.org.uk/help-and-support/get-hel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qualityadvisoryservice.com/app/ask" TargetMode="External"/><Relationship Id="rId15" Type="http://schemas.openxmlformats.org/officeDocument/2006/relationships/footer" Target="footer1.xml"/><Relationship Id="rId14" Type="http://schemas.openxmlformats.org/officeDocument/2006/relationships/hyperlink" Target="https://www.victimsupport.org.uk/help-and-support/get-hel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kelvin-members.co.uk/committee-conta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COQOexb2Db4LxSJUfARmAHkWw==">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2022-08-23T20:57:00Z</dcterms:created>
  <dc:creator>chrisde_rac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2016</vt:lpwstr>
  </property>
</Properties>
</file>